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5715"/>
        </w:tabs>
        <w:spacing w:after="240" w:line="240" w:lineRule="auto"/>
        <w:rPr>
          <w:rFonts w:ascii="Arial Bold" w:cs="Arial Bold" w:eastAsia="Arial Bold" w:hAnsi="Arial Bold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5715"/>
        </w:tabs>
        <w:spacing w:after="240" w:line="240" w:lineRule="auto"/>
        <w:rPr>
          <w:rFonts w:ascii="Arial Bold" w:cs="Arial Bold" w:eastAsia="Arial Bold" w:hAnsi="Arial Bold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 Bold" w:cs="Arial Bold" w:eastAsia="Arial Bold" w:hAnsi="Arial Bold"/>
          <w:b w:val="1"/>
          <w:color w:val="000000"/>
          <w:sz w:val="36"/>
          <w:szCs w:val="36"/>
          <w:rtl w:val="0"/>
        </w:rPr>
        <w:t xml:space="preserve">Call-Off Schedule 2</w:t>
      </w:r>
      <w:r w:rsidDel="00000000" w:rsidR="00000000" w:rsidRPr="00000000">
        <w:rPr>
          <w:rFonts w:ascii="Arial Bold" w:cs="Arial Bold" w:eastAsia="Arial Bold" w:hAnsi="Arial Bold"/>
          <w:b w:val="1"/>
          <w:sz w:val="36"/>
          <w:szCs w:val="36"/>
          <w:rtl w:val="0"/>
        </w:rPr>
        <w:t xml:space="preserve">4</w:t>
      </w:r>
      <w:r w:rsidDel="00000000" w:rsidR="00000000" w:rsidRPr="00000000">
        <w:rPr>
          <w:rFonts w:ascii="Arial Bold" w:cs="Arial Bold" w:eastAsia="Arial Bold" w:hAnsi="Arial Bold"/>
          <w:b w:val="1"/>
          <w:color w:val="000000"/>
          <w:sz w:val="36"/>
          <w:szCs w:val="36"/>
          <w:rtl w:val="0"/>
        </w:rPr>
        <w:t xml:space="preserve"> (Supplier-Furnished Terms)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Non-COTS Third Party Software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in accordance with Call-Off Schedule 6 Paragraph 9.2.3 are detailed in Annex 1.</w:t>
      </w:r>
    </w:p>
    <w:p w:rsidR="00000000" w:rsidDel="00000000" w:rsidP="00000000" w:rsidRDefault="00000000" w:rsidRPr="00000000" w14:paraId="00000006">
      <w:pPr>
        <w:spacing w:after="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  COTS Software</w:t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in accordance with Call-Off Schedule 6 Paragraph 9.3 are detailed in Annex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1C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Software as a Service (SaaS) Terms</w:t>
      </w:r>
    </w:p>
    <w:p w:rsidR="00000000" w:rsidDel="00000000" w:rsidP="00000000" w:rsidRDefault="00000000" w:rsidRPr="00000000" w14:paraId="0000000C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0E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720" w:hanging="72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1D  Software Support and/or Maintenance Terms</w:t>
      </w:r>
    </w:p>
    <w:p w:rsidR="00000000" w:rsidDel="00000000" w:rsidP="00000000" w:rsidRDefault="00000000" w:rsidRPr="00000000" w14:paraId="00000010">
      <w:pPr>
        <w:spacing w:after="0" w:lineRule="auto"/>
        <w:ind w:left="720" w:hanging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and/or Maintenance services are detailed in Annex 4.</w:t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D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3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8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</w:t>
      <w:tab/>
      <w:t xml:space="preserve">                                           </w:t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2</w:t>
    </w: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3</w:t>
    </w: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i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TSOLScheduleAnnexName" w:customStyle="1">
    <w:name w:val="TSOL Schedule Annex Name"/>
    <w:qFormat w:val="1"/>
    <w:pPr>
      <w:spacing w:after="240" w:line="240" w:lineRule="auto"/>
      <w:jc w:val="center"/>
      <w:outlineLvl w:val="1"/>
    </w:pPr>
    <w:rPr>
      <w:rFonts w:cs="Arial" w:eastAsia="STZhongsong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 w:val="1"/>
    <w:pPr>
      <w:tabs>
        <w:tab w:val="left" w:pos="709"/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Revision">
    <w:name w:val="Revision"/>
    <w:hidden w:val="1"/>
    <w:uiPriority w:val="99"/>
    <w:semiHidden w:val="1"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A97B5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2HpNERyl72YtU+N9XxVJ0KuNFQ==">AMUW2mVWW912a8IGvvz8E9SEGhmlwr1ldOOFlCKOFi5P8YdDGfAgoOOwpa4OqmtjPIZxtoS4l3tzpEOvk/h0pIVJJa+eRMElvA6z+1aFJbm4Mi0YpHIaJEzXHc9rCwyE5PUJljq2t1o0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2021-10-18T10:55:00Z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